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3352FC" w14:textId="77777777" w:rsidR="0009110D" w:rsidRDefault="0009110D" w:rsidP="0009110D">
      <w:pPr>
        <w:spacing w:line="240" w:lineRule="auto"/>
        <w:jc w:val="both"/>
        <w:rPr>
          <w:rFonts w:ascii="Palatino Linotype" w:hAnsi="Palatino Linotype"/>
          <w:b/>
          <w:u w:val="single"/>
        </w:rPr>
      </w:pPr>
      <w:r w:rsidRPr="0009110D">
        <w:rPr>
          <w:rFonts w:ascii="Palatino Linotype" w:hAnsi="Palatino Linotype"/>
          <w:b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F51F00E" wp14:editId="35733189">
                <wp:simplePos x="0" y="0"/>
                <wp:positionH relativeFrom="column">
                  <wp:posOffset>1125855</wp:posOffset>
                </wp:positionH>
                <wp:positionV relativeFrom="paragraph">
                  <wp:posOffset>1905</wp:posOffset>
                </wp:positionV>
                <wp:extent cx="5270500" cy="958850"/>
                <wp:effectExtent l="0" t="0" r="25400" b="1270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0500" cy="958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BAFD8D" w14:textId="77777777" w:rsidR="0009110D" w:rsidRPr="00D35D83" w:rsidRDefault="0009110D" w:rsidP="000B0322">
                            <w:pPr>
                              <w:spacing w:line="240" w:lineRule="auto"/>
                              <w:jc w:val="center"/>
                              <w:rPr>
                                <w:rFonts w:ascii="Palatino Linotype" w:hAnsi="Palatino Linotype"/>
                                <w:b/>
                                <w:color w:val="385623" w:themeColor="accent6" w:themeShade="80"/>
                              </w:rPr>
                            </w:pPr>
                            <w:r w:rsidRPr="00D35D83">
                              <w:rPr>
                                <w:rFonts w:ascii="Palatino Linotype" w:hAnsi="Palatino Linotype"/>
                                <w:b/>
                                <w:color w:val="385623" w:themeColor="accent6" w:themeShade="80"/>
                              </w:rPr>
                              <w:t>PREFEROWANA  PRAKTYKA  KANCELARII</w:t>
                            </w:r>
                          </w:p>
                          <w:p w14:paraId="359DDA9F" w14:textId="77777777" w:rsidR="0009110D" w:rsidRPr="00D35D83" w:rsidRDefault="0009110D" w:rsidP="0009110D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jc w:val="both"/>
                              <w:rPr>
                                <w:rFonts w:ascii="Palatino Linotype" w:hAnsi="Palatino Linotype"/>
                                <w:i/>
                                <w:iCs/>
                                <w:color w:val="385623" w:themeColor="accent6" w:themeShade="80"/>
                              </w:rPr>
                            </w:pPr>
                            <w:r w:rsidRPr="00D35D83">
                              <w:rPr>
                                <w:rFonts w:ascii="Palatino Linotype" w:hAnsi="Palatino Linotype"/>
                                <w:i/>
                                <w:iCs/>
                                <w:color w:val="385623" w:themeColor="accent6" w:themeShade="80"/>
                              </w:rPr>
                              <w:t>każdy adwokat wykonujący zawód może z listy preferowanych praktyk wybrać pięć, które będą opisywały jego preferencje zawodowe</w:t>
                            </w:r>
                          </w:p>
                          <w:p w14:paraId="03D8DBC9" w14:textId="77777777" w:rsidR="0009110D" w:rsidRPr="0009110D" w:rsidRDefault="0009110D" w:rsidP="004102E8">
                            <w:pPr>
                              <w:pStyle w:val="Akapitzlist"/>
                              <w:spacing w:line="240" w:lineRule="auto"/>
                              <w:jc w:val="both"/>
                              <w:rPr>
                                <w:rFonts w:ascii="Palatino Linotype" w:hAnsi="Palatino Linotype"/>
                              </w:rPr>
                            </w:pPr>
                          </w:p>
                          <w:p w14:paraId="31744F37" w14:textId="77777777" w:rsidR="0009110D" w:rsidRDefault="0009110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51F00E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88.65pt;margin-top:.15pt;width:415pt;height:75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">
                <v:textbox>
                  <w:txbxContent>
                    <w:p w14:paraId="19BAFD8D" w14:textId="77777777" w:rsidR="0009110D" w:rsidRPr="00D35D83" w:rsidRDefault="0009110D" w:rsidP="000B0322">
                      <w:pPr>
                        <w:spacing w:line="240" w:lineRule="auto"/>
                        <w:jc w:val="center"/>
                        <w:rPr>
                          <w:rFonts w:ascii="Palatino Linotype" w:hAnsi="Palatino Linotype"/>
                          <w:b/>
                          <w:color w:val="385623" w:themeColor="accent6" w:themeShade="80"/>
                        </w:rPr>
                      </w:pPr>
                      <w:r w:rsidRPr="00D35D83">
                        <w:rPr>
                          <w:rFonts w:ascii="Palatino Linotype" w:hAnsi="Palatino Linotype"/>
                          <w:b/>
                          <w:color w:val="385623" w:themeColor="accent6" w:themeShade="80"/>
                        </w:rPr>
                        <w:t>PREFEROWANA  PRAKTYKA  KANCELARII</w:t>
                      </w:r>
                    </w:p>
                    <w:p w14:paraId="359DDA9F" w14:textId="77777777" w:rsidR="0009110D" w:rsidRPr="00D35D83" w:rsidRDefault="0009110D" w:rsidP="0009110D">
                      <w:pPr>
                        <w:pStyle w:val="Akapitzlist"/>
                        <w:numPr>
                          <w:ilvl w:val="0"/>
                          <w:numId w:val="2"/>
                        </w:numPr>
                        <w:spacing w:line="240" w:lineRule="auto"/>
                        <w:jc w:val="both"/>
                        <w:rPr>
                          <w:rFonts w:ascii="Palatino Linotype" w:hAnsi="Palatino Linotype"/>
                          <w:i/>
                          <w:iCs/>
                          <w:color w:val="385623" w:themeColor="accent6" w:themeShade="80"/>
                        </w:rPr>
                      </w:pPr>
                      <w:r w:rsidRPr="00D35D83">
                        <w:rPr>
                          <w:rFonts w:ascii="Palatino Linotype" w:hAnsi="Palatino Linotype"/>
                          <w:i/>
                          <w:iCs/>
                          <w:color w:val="385623" w:themeColor="accent6" w:themeShade="80"/>
                        </w:rPr>
                        <w:t>każdy adwokat wykonujący zawód może z listy preferowanych praktyk wybrać pięć, które będą opisywały jego preferencje zawodowe</w:t>
                      </w:r>
                    </w:p>
                    <w:p w14:paraId="03D8DBC9" w14:textId="77777777" w:rsidR="0009110D" w:rsidRPr="0009110D" w:rsidRDefault="0009110D" w:rsidP="004102E8">
                      <w:pPr>
                        <w:pStyle w:val="Akapitzlist"/>
                        <w:spacing w:line="240" w:lineRule="auto"/>
                        <w:jc w:val="both"/>
                        <w:rPr>
                          <w:rFonts w:ascii="Palatino Linotype" w:hAnsi="Palatino Linotype"/>
                        </w:rPr>
                      </w:pPr>
                    </w:p>
                    <w:p w14:paraId="31744F37" w14:textId="77777777" w:rsidR="0009110D" w:rsidRDefault="0009110D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Palatino Linotype" w:hAnsi="Palatino Linotype"/>
          <w:noProof/>
        </w:rPr>
        <w:drawing>
          <wp:inline distT="0" distB="0" distL="0" distR="0" wp14:anchorId="1F4036B4" wp14:editId="7D7F5A60">
            <wp:extent cx="965200" cy="965200"/>
            <wp:effectExtent l="0" t="0" r="6350" b="635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0" cy="96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Hlk23537967"/>
      <w:bookmarkEnd w:id="0"/>
    </w:p>
    <w:p w14:paraId="6503879A" w14:textId="77777777" w:rsidR="0009110D" w:rsidRDefault="0009110D" w:rsidP="0009110D">
      <w:pPr>
        <w:spacing w:line="240" w:lineRule="auto"/>
        <w:jc w:val="both"/>
        <w:rPr>
          <w:rFonts w:ascii="Palatino Linotype" w:hAnsi="Palatino Linotype"/>
          <w:b/>
          <w:u w:val="single"/>
        </w:rPr>
      </w:pPr>
    </w:p>
    <w:p w14:paraId="53761B1A" w14:textId="77777777" w:rsidR="0009110D" w:rsidRDefault="0009110D" w:rsidP="0009110D">
      <w:pPr>
        <w:spacing w:line="240" w:lineRule="auto"/>
        <w:jc w:val="both"/>
        <w:rPr>
          <w:rFonts w:ascii="Palatino Linotype" w:hAnsi="Palatino Linotype"/>
          <w:b/>
          <w:u w:val="single"/>
        </w:rPr>
      </w:pPr>
      <w:bookmarkStart w:id="1" w:name="_Hlk23537940"/>
      <w:bookmarkStart w:id="2" w:name="_Hlk23537951"/>
      <w:bookmarkEnd w:id="1"/>
      <w:bookmarkEnd w:id="2"/>
    </w:p>
    <w:p w14:paraId="74FA8D75" w14:textId="77777777" w:rsidR="0009110D" w:rsidRPr="0009110D" w:rsidRDefault="0009110D" w:rsidP="0009110D">
      <w:pPr>
        <w:spacing w:line="240" w:lineRule="auto"/>
        <w:rPr>
          <w:rFonts w:ascii="Palatino Linotype" w:hAnsi="Palatino Linotype"/>
        </w:rPr>
      </w:pPr>
    </w:p>
    <w:p w14:paraId="4B11B99D" w14:textId="77777777" w:rsidR="0009110D" w:rsidRPr="0009110D" w:rsidRDefault="0009110D" w:rsidP="0009110D">
      <w:pPr>
        <w:spacing w:line="240" w:lineRule="auto"/>
        <w:jc w:val="center"/>
        <w:rPr>
          <w:rFonts w:ascii="Palatino Linotype" w:hAnsi="Palatino Linotype"/>
          <w:b/>
        </w:rPr>
      </w:pPr>
      <w:r w:rsidRPr="0009110D">
        <w:rPr>
          <w:rFonts w:ascii="Palatino Linotype" w:hAnsi="Palatino Linotype"/>
          <w:b/>
        </w:rPr>
        <w:t>LISTA PREFEROWANYCH PRAKTYK</w:t>
      </w:r>
    </w:p>
    <w:p w14:paraId="020A9C79" w14:textId="77777777" w:rsidR="0009110D" w:rsidRPr="0009110D" w:rsidRDefault="0009110D" w:rsidP="0009110D">
      <w:pPr>
        <w:spacing w:line="240" w:lineRule="auto"/>
        <w:jc w:val="center"/>
        <w:rPr>
          <w:rFonts w:ascii="Palatino Linotype" w:hAnsi="Palatino Linotype"/>
          <w:b/>
        </w:rPr>
      </w:pPr>
    </w:p>
    <w:p w14:paraId="6C2178AA" w14:textId="77777777" w:rsidR="0009110D" w:rsidRPr="0009110D" w:rsidRDefault="0009110D" w:rsidP="0009110D">
      <w:pPr>
        <w:pStyle w:val="Akapitzlist"/>
        <w:numPr>
          <w:ilvl w:val="0"/>
          <w:numId w:val="1"/>
        </w:numPr>
        <w:spacing w:line="240" w:lineRule="auto"/>
        <w:ind w:hanging="720"/>
        <w:rPr>
          <w:rFonts w:ascii="Palatino Linotype" w:hAnsi="Palatino Linotype"/>
        </w:rPr>
      </w:pPr>
      <w:r w:rsidRPr="0009110D">
        <w:rPr>
          <w:rFonts w:ascii="Palatino Linotype" w:hAnsi="Palatino Linotype"/>
        </w:rPr>
        <w:t>Praktyka ogólna</w:t>
      </w:r>
    </w:p>
    <w:p w14:paraId="5B1F0021" w14:textId="77777777" w:rsidR="0009110D" w:rsidRPr="0009110D" w:rsidRDefault="0009110D" w:rsidP="0009110D">
      <w:pPr>
        <w:pStyle w:val="Akapitzlist"/>
        <w:numPr>
          <w:ilvl w:val="0"/>
          <w:numId w:val="1"/>
        </w:numPr>
        <w:spacing w:line="240" w:lineRule="auto"/>
        <w:ind w:hanging="720"/>
        <w:rPr>
          <w:rFonts w:ascii="Palatino Linotype" w:hAnsi="Palatino Linotype"/>
        </w:rPr>
      </w:pPr>
      <w:r w:rsidRPr="0009110D">
        <w:rPr>
          <w:rFonts w:ascii="Palatino Linotype" w:hAnsi="Palatino Linotype"/>
        </w:rPr>
        <w:t>Prawo i postępowanie administracyjne</w:t>
      </w:r>
    </w:p>
    <w:p w14:paraId="4F54D1D2" w14:textId="77777777" w:rsidR="0009110D" w:rsidRPr="0009110D" w:rsidRDefault="0009110D" w:rsidP="0009110D">
      <w:pPr>
        <w:pStyle w:val="Akapitzlist"/>
        <w:numPr>
          <w:ilvl w:val="0"/>
          <w:numId w:val="1"/>
        </w:numPr>
        <w:spacing w:line="240" w:lineRule="auto"/>
        <w:ind w:hanging="720"/>
        <w:rPr>
          <w:rFonts w:ascii="Palatino Linotype" w:hAnsi="Palatino Linotype"/>
        </w:rPr>
      </w:pPr>
      <w:r w:rsidRPr="0009110D">
        <w:rPr>
          <w:rFonts w:ascii="Palatino Linotype" w:hAnsi="Palatino Linotype"/>
        </w:rPr>
        <w:t>Postępowanie arbitrażowe</w:t>
      </w:r>
    </w:p>
    <w:p w14:paraId="04024B58" w14:textId="77777777" w:rsidR="0009110D" w:rsidRPr="0009110D" w:rsidRDefault="0009110D" w:rsidP="0009110D">
      <w:pPr>
        <w:pStyle w:val="Akapitzlist"/>
        <w:numPr>
          <w:ilvl w:val="0"/>
          <w:numId w:val="1"/>
        </w:numPr>
        <w:spacing w:line="240" w:lineRule="auto"/>
        <w:ind w:hanging="720"/>
        <w:rPr>
          <w:rFonts w:ascii="Palatino Linotype" w:hAnsi="Palatino Linotype"/>
        </w:rPr>
      </w:pPr>
      <w:r w:rsidRPr="0009110D">
        <w:rPr>
          <w:rFonts w:ascii="Palatino Linotype" w:hAnsi="Palatino Linotype"/>
        </w:rPr>
        <w:t>Postępowanie mediacyjne</w:t>
      </w:r>
    </w:p>
    <w:p w14:paraId="67113194" w14:textId="77777777" w:rsidR="0009110D" w:rsidRPr="0009110D" w:rsidRDefault="0009110D" w:rsidP="0009110D">
      <w:pPr>
        <w:pStyle w:val="Akapitzlist"/>
        <w:numPr>
          <w:ilvl w:val="0"/>
          <w:numId w:val="1"/>
        </w:numPr>
        <w:spacing w:line="240" w:lineRule="auto"/>
        <w:ind w:hanging="720"/>
        <w:rPr>
          <w:rFonts w:ascii="Palatino Linotype" w:hAnsi="Palatino Linotype"/>
        </w:rPr>
      </w:pPr>
      <w:r w:rsidRPr="0009110D">
        <w:rPr>
          <w:rFonts w:ascii="Palatino Linotype" w:hAnsi="Palatino Linotype"/>
        </w:rPr>
        <w:t>Prawo i postępowanie cywilne</w:t>
      </w:r>
    </w:p>
    <w:p w14:paraId="19A7E6F7" w14:textId="77777777" w:rsidR="0009110D" w:rsidRPr="0009110D" w:rsidRDefault="0009110D" w:rsidP="0009110D">
      <w:pPr>
        <w:pStyle w:val="Akapitzlist"/>
        <w:numPr>
          <w:ilvl w:val="0"/>
          <w:numId w:val="1"/>
        </w:numPr>
        <w:spacing w:line="240" w:lineRule="auto"/>
        <w:ind w:hanging="720"/>
        <w:rPr>
          <w:rFonts w:ascii="Palatino Linotype" w:hAnsi="Palatino Linotype"/>
        </w:rPr>
      </w:pPr>
      <w:r w:rsidRPr="0009110D">
        <w:rPr>
          <w:rFonts w:ascii="Palatino Linotype" w:hAnsi="Palatino Linotype"/>
        </w:rPr>
        <w:t>Prawa człowieka i prawa obywatelskie</w:t>
      </w:r>
    </w:p>
    <w:p w14:paraId="5954504B" w14:textId="77777777" w:rsidR="0009110D" w:rsidRPr="0009110D" w:rsidRDefault="0009110D" w:rsidP="0009110D">
      <w:pPr>
        <w:pStyle w:val="Akapitzlist"/>
        <w:numPr>
          <w:ilvl w:val="0"/>
          <w:numId w:val="1"/>
        </w:numPr>
        <w:spacing w:line="240" w:lineRule="auto"/>
        <w:ind w:hanging="720"/>
        <w:rPr>
          <w:rFonts w:ascii="Palatino Linotype" w:hAnsi="Palatino Linotype"/>
        </w:rPr>
      </w:pPr>
      <w:r w:rsidRPr="0009110D">
        <w:rPr>
          <w:rFonts w:ascii="Palatino Linotype" w:hAnsi="Palatino Linotype"/>
        </w:rPr>
        <w:t>Prawo budowlane i zagospodarowania przestrzennego</w:t>
      </w:r>
    </w:p>
    <w:p w14:paraId="129940CA" w14:textId="77777777" w:rsidR="0009110D" w:rsidRPr="0009110D" w:rsidRDefault="0009110D" w:rsidP="0009110D">
      <w:pPr>
        <w:pStyle w:val="Akapitzlist"/>
        <w:numPr>
          <w:ilvl w:val="0"/>
          <w:numId w:val="1"/>
        </w:numPr>
        <w:spacing w:line="240" w:lineRule="auto"/>
        <w:ind w:hanging="720"/>
        <w:rPr>
          <w:rFonts w:ascii="Palatino Linotype" w:hAnsi="Palatino Linotype"/>
        </w:rPr>
      </w:pPr>
      <w:r w:rsidRPr="0009110D">
        <w:rPr>
          <w:rFonts w:ascii="Palatino Linotype" w:hAnsi="Palatino Linotype"/>
        </w:rPr>
        <w:t>Prawo europejskie</w:t>
      </w:r>
    </w:p>
    <w:p w14:paraId="1C573C4F" w14:textId="77777777" w:rsidR="0009110D" w:rsidRPr="0009110D" w:rsidRDefault="0009110D" w:rsidP="0009110D">
      <w:pPr>
        <w:pStyle w:val="Akapitzlist"/>
        <w:numPr>
          <w:ilvl w:val="0"/>
          <w:numId w:val="1"/>
        </w:numPr>
        <w:spacing w:line="240" w:lineRule="auto"/>
        <w:ind w:hanging="720"/>
        <w:rPr>
          <w:rFonts w:ascii="Palatino Linotype" w:hAnsi="Palatino Linotype"/>
        </w:rPr>
      </w:pPr>
      <w:r w:rsidRPr="0009110D">
        <w:rPr>
          <w:rFonts w:ascii="Palatino Linotype" w:hAnsi="Palatino Linotype"/>
        </w:rPr>
        <w:t>Prawo gospodarcze</w:t>
      </w:r>
    </w:p>
    <w:p w14:paraId="59B15BA5" w14:textId="77777777" w:rsidR="0009110D" w:rsidRPr="0009110D" w:rsidRDefault="0009110D" w:rsidP="0009110D">
      <w:pPr>
        <w:pStyle w:val="Akapitzlist"/>
        <w:numPr>
          <w:ilvl w:val="0"/>
          <w:numId w:val="1"/>
        </w:numPr>
        <w:spacing w:line="240" w:lineRule="auto"/>
        <w:ind w:hanging="720"/>
        <w:rPr>
          <w:rFonts w:ascii="Palatino Linotype" w:hAnsi="Palatino Linotype"/>
        </w:rPr>
      </w:pPr>
      <w:r w:rsidRPr="0009110D">
        <w:rPr>
          <w:rFonts w:ascii="Palatino Linotype" w:hAnsi="Palatino Linotype"/>
        </w:rPr>
        <w:t>Prawo spółek</w:t>
      </w:r>
    </w:p>
    <w:p w14:paraId="0415A495" w14:textId="77777777" w:rsidR="0009110D" w:rsidRPr="0009110D" w:rsidRDefault="0009110D" w:rsidP="0009110D">
      <w:pPr>
        <w:pStyle w:val="Akapitzlist"/>
        <w:numPr>
          <w:ilvl w:val="0"/>
          <w:numId w:val="1"/>
        </w:numPr>
        <w:spacing w:line="240" w:lineRule="auto"/>
        <w:ind w:hanging="720"/>
        <w:rPr>
          <w:rFonts w:ascii="Palatino Linotype" w:hAnsi="Palatino Linotype"/>
        </w:rPr>
      </w:pPr>
      <w:r w:rsidRPr="0009110D">
        <w:rPr>
          <w:rFonts w:ascii="Palatino Linotype" w:hAnsi="Palatino Linotype"/>
        </w:rPr>
        <w:t>Prawo i postępowanie karne</w:t>
      </w:r>
    </w:p>
    <w:p w14:paraId="4D57A139" w14:textId="77777777" w:rsidR="0009110D" w:rsidRPr="0009110D" w:rsidRDefault="0009110D" w:rsidP="0009110D">
      <w:pPr>
        <w:pStyle w:val="Akapitzlist"/>
        <w:numPr>
          <w:ilvl w:val="0"/>
          <w:numId w:val="1"/>
        </w:numPr>
        <w:spacing w:line="240" w:lineRule="auto"/>
        <w:ind w:hanging="720"/>
        <w:rPr>
          <w:rFonts w:ascii="Palatino Linotype" w:hAnsi="Palatino Linotype"/>
        </w:rPr>
      </w:pPr>
      <w:r w:rsidRPr="0009110D">
        <w:rPr>
          <w:rFonts w:ascii="Palatino Linotype" w:hAnsi="Palatino Linotype"/>
        </w:rPr>
        <w:t>Prawo medyczne i farmaceutyczne</w:t>
      </w:r>
    </w:p>
    <w:p w14:paraId="35D0F148" w14:textId="77777777" w:rsidR="0009110D" w:rsidRPr="0009110D" w:rsidRDefault="0009110D" w:rsidP="0009110D">
      <w:pPr>
        <w:pStyle w:val="Akapitzlist"/>
        <w:numPr>
          <w:ilvl w:val="0"/>
          <w:numId w:val="1"/>
        </w:numPr>
        <w:spacing w:line="240" w:lineRule="auto"/>
        <w:ind w:hanging="720"/>
        <w:rPr>
          <w:rFonts w:ascii="Palatino Linotype" w:hAnsi="Palatino Linotype"/>
        </w:rPr>
      </w:pPr>
      <w:r w:rsidRPr="0009110D">
        <w:rPr>
          <w:rFonts w:ascii="Palatino Linotype" w:hAnsi="Palatino Linotype"/>
        </w:rPr>
        <w:t>Prawo obrotu nieruchomościami</w:t>
      </w:r>
    </w:p>
    <w:p w14:paraId="2BC52E60" w14:textId="77777777" w:rsidR="0009110D" w:rsidRPr="0009110D" w:rsidRDefault="0009110D" w:rsidP="0009110D">
      <w:pPr>
        <w:pStyle w:val="Akapitzlist"/>
        <w:numPr>
          <w:ilvl w:val="0"/>
          <w:numId w:val="1"/>
        </w:numPr>
        <w:spacing w:line="240" w:lineRule="auto"/>
        <w:ind w:hanging="720"/>
        <w:rPr>
          <w:rFonts w:ascii="Palatino Linotype" w:hAnsi="Palatino Linotype"/>
        </w:rPr>
      </w:pPr>
      <w:r w:rsidRPr="0009110D">
        <w:rPr>
          <w:rFonts w:ascii="Palatino Linotype" w:hAnsi="Palatino Linotype"/>
        </w:rPr>
        <w:t>Prawo ochrony konsumentów</w:t>
      </w:r>
    </w:p>
    <w:p w14:paraId="4690DCD6" w14:textId="77777777" w:rsidR="0009110D" w:rsidRPr="0009110D" w:rsidRDefault="0009110D" w:rsidP="0009110D">
      <w:pPr>
        <w:pStyle w:val="Akapitzlist"/>
        <w:numPr>
          <w:ilvl w:val="0"/>
          <w:numId w:val="1"/>
        </w:numPr>
        <w:spacing w:line="240" w:lineRule="auto"/>
        <w:ind w:hanging="720"/>
        <w:rPr>
          <w:rFonts w:ascii="Palatino Linotype" w:hAnsi="Palatino Linotype"/>
        </w:rPr>
      </w:pPr>
      <w:r w:rsidRPr="0009110D">
        <w:rPr>
          <w:rFonts w:ascii="Palatino Linotype" w:hAnsi="Palatino Linotype"/>
        </w:rPr>
        <w:t>Prawo ochrony środowiska</w:t>
      </w:r>
    </w:p>
    <w:p w14:paraId="3E74CDEA" w14:textId="77777777" w:rsidR="0009110D" w:rsidRPr="0009110D" w:rsidRDefault="0009110D" w:rsidP="0009110D">
      <w:pPr>
        <w:pStyle w:val="Akapitzlist"/>
        <w:numPr>
          <w:ilvl w:val="0"/>
          <w:numId w:val="1"/>
        </w:numPr>
        <w:spacing w:line="240" w:lineRule="auto"/>
        <w:ind w:hanging="720"/>
        <w:rPr>
          <w:rFonts w:ascii="Palatino Linotype" w:hAnsi="Palatino Linotype"/>
        </w:rPr>
      </w:pPr>
      <w:r w:rsidRPr="0009110D">
        <w:rPr>
          <w:rFonts w:ascii="Palatino Linotype" w:hAnsi="Palatino Linotype"/>
        </w:rPr>
        <w:t>Prawo bankowe i papierów wartościowych</w:t>
      </w:r>
    </w:p>
    <w:p w14:paraId="220C717C" w14:textId="77777777" w:rsidR="0009110D" w:rsidRPr="0009110D" w:rsidRDefault="0009110D" w:rsidP="0009110D">
      <w:pPr>
        <w:pStyle w:val="Akapitzlist"/>
        <w:numPr>
          <w:ilvl w:val="0"/>
          <w:numId w:val="1"/>
        </w:numPr>
        <w:spacing w:line="240" w:lineRule="auto"/>
        <w:ind w:hanging="720"/>
        <w:rPr>
          <w:rFonts w:ascii="Palatino Linotype" w:hAnsi="Palatino Linotype"/>
        </w:rPr>
      </w:pPr>
      <w:r w:rsidRPr="0009110D">
        <w:rPr>
          <w:rFonts w:ascii="Palatino Linotype" w:hAnsi="Palatino Linotype"/>
        </w:rPr>
        <w:t>Prawo podatkowe i finansowe</w:t>
      </w:r>
    </w:p>
    <w:p w14:paraId="526A75F7" w14:textId="77777777" w:rsidR="0009110D" w:rsidRPr="0009110D" w:rsidRDefault="0009110D" w:rsidP="0009110D">
      <w:pPr>
        <w:pStyle w:val="Akapitzlist"/>
        <w:numPr>
          <w:ilvl w:val="0"/>
          <w:numId w:val="1"/>
        </w:numPr>
        <w:spacing w:line="240" w:lineRule="auto"/>
        <w:ind w:hanging="720"/>
        <w:rPr>
          <w:rFonts w:ascii="Palatino Linotype" w:hAnsi="Palatino Linotype"/>
        </w:rPr>
      </w:pPr>
      <w:r w:rsidRPr="0009110D">
        <w:rPr>
          <w:rFonts w:ascii="Palatino Linotype" w:hAnsi="Palatino Linotype"/>
        </w:rPr>
        <w:t>Prawo pracy</w:t>
      </w:r>
    </w:p>
    <w:p w14:paraId="593C6F5A" w14:textId="77777777" w:rsidR="0009110D" w:rsidRPr="0009110D" w:rsidRDefault="0009110D" w:rsidP="0009110D">
      <w:pPr>
        <w:pStyle w:val="Akapitzlist"/>
        <w:numPr>
          <w:ilvl w:val="0"/>
          <w:numId w:val="1"/>
        </w:numPr>
        <w:spacing w:line="240" w:lineRule="auto"/>
        <w:ind w:hanging="720"/>
        <w:rPr>
          <w:rFonts w:ascii="Palatino Linotype" w:hAnsi="Palatino Linotype"/>
        </w:rPr>
      </w:pPr>
      <w:r w:rsidRPr="0009110D">
        <w:rPr>
          <w:rFonts w:ascii="Palatino Linotype" w:hAnsi="Palatino Linotype"/>
        </w:rPr>
        <w:t>Prawo prasowe</w:t>
      </w:r>
    </w:p>
    <w:p w14:paraId="7E88BBBD" w14:textId="77777777" w:rsidR="0009110D" w:rsidRPr="0009110D" w:rsidRDefault="0009110D" w:rsidP="0009110D">
      <w:pPr>
        <w:pStyle w:val="Akapitzlist"/>
        <w:numPr>
          <w:ilvl w:val="0"/>
          <w:numId w:val="1"/>
        </w:numPr>
        <w:spacing w:line="240" w:lineRule="auto"/>
        <w:ind w:hanging="720"/>
        <w:rPr>
          <w:rFonts w:ascii="Palatino Linotype" w:hAnsi="Palatino Linotype"/>
        </w:rPr>
      </w:pPr>
      <w:r w:rsidRPr="0009110D">
        <w:rPr>
          <w:rFonts w:ascii="Palatino Linotype" w:hAnsi="Palatino Linotype"/>
        </w:rPr>
        <w:t>Prawo rodzinne i opiekuńcze</w:t>
      </w:r>
    </w:p>
    <w:p w14:paraId="5E973F03" w14:textId="77777777" w:rsidR="0009110D" w:rsidRPr="0009110D" w:rsidRDefault="0009110D" w:rsidP="0009110D">
      <w:pPr>
        <w:pStyle w:val="Akapitzlist"/>
        <w:numPr>
          <w:ilvl w:val="0"/>
          <w:numId w:val="1"/>
        </w:numPr>
        <w:spacing w:line="240" w:lineRule="auto"/>
        <w:ind w:hanging="720"/>
        <w:rPr>
          <w:rFonts w:ascii="Palatino Linotype" w:hAnsi="Palatino Linotype"/>
        </w:rPr>
      </w:pPr>
      <w:r w:rsidRPr="0009110D">
        <w:rPr>
          <w:rFonts w:ascii="Palatino Linotype" w:hAnsi="Palatino Linotype"/>
        </w:rPr>
        <w:t>Prawo odszkodowawcze</w:t>
      </w:r>
    </w:p>
    <w:p w14:paraId="6B5951F2" w14:textId="77777777" w:rsidR="0009110D" w:rsidRPr="0009110D" w:rsidRDefault="0009110D" w:rsidP="0009110D">
      <w:pPr>
        <w:pStyle w:val="Akapitzlist"/>
        <w:numPr>
          <w:ilvl w:val="0"/>
          <w:numId w:val="1"/>
        </w:numPr>
        <w:spacing w:line="240" w:lineRule="auto"/>
        <w:ind w:hanging="720"/>
        <w:rPr>
          <w:rFonts w:ascii="Palatino Linotype" w:hAnsi="Palatino Linotype"/>
        </w:rPr>
      </w:pPr>
      <w:r w:rsidRPr="0009110D">
        <w:rPr>
          <w:rFonts w:ascii="Palatino Linotype" w:hAnsi="Palatino Linotype"/>
        </w:rPr>
        <w:t>Prawo spadkowe</w:t>
      </w:r>
    </w:p>
    <w:p w14:paraId="5CA9946B" w14:textId="77777777" w:rsidR="0009110D" w:rsidRPr="0009110D" w:rsidRDefault="0009110D" w:rsidP="0009110D">
      <w:pPr>
        <w:pStyle w:val="Akapitzlist"/>
        <w:numPr>
          <w:ilvl w:val="0"/>
          <w:numId w:val="1"/>
        </w:numPr>
        <w:spacing w:line="240" w:lineRule="auto"/>
        <w:ind w:hanging="720"/>
        <w:rPr>
          <w:rFonts w:ascii="Palatino Linotype" w:hAnsi="Palatino Linotype"/>
        </w:rPr>
      </w:pPr>
      <w:r w:rsidRPr="0009110D">
        <w:rPr>
          <w:rFonts w:ascii="Palatino Linotype" w:hAnsi="Palatino Linotype"/>
        </w:rPr>
        <w:t>Prawo transportowe</w:t>
      </w:r>
    </w:p>
    <w:p w14:paraId="70AFAF19" w14:textId="77777777" w:rsidR="0009110D" w:rsidRPr="0009110D" w:rsidRDefault="0009110D" w:rsidP="0009110D">
      <w:pPr>
        <w:pStyle w:val="Akapitzlist"/>
        <w:numPr>
          <w:ilvl w:val="0"/>
          <w:numId w:val="1"/>
        </w:numPr>
        <w:spacing w:line="240" w:lineRule="auto"/>
        <w:ind w:hanging="720"/>
        <w:rPr>
          <w:rFonts w:ascii="Palatino Linotype" w:hAnsi="Palatino Linotype"/>
        </w:rPr>
      </w:pPr>
      <w:r w:rsidRPr="0009110D">
        <w:rPr>
          <w:rFonts w:ascii="Palatino Linotype" w:hAnsi="Palatino Linotype"/>
        </w:rPr>
        <w:t>Prawo ubezpieczeń społecznych</w:t>
      </w:r>
    </w:p>
    <w:p w14:paraId="1EDD574F" w14:textId="77777777" w:rsidR="0009110D" w:rsidRPr="0009110D" w:rsidRDefault="0009110D" w:rsidP="0009110D">
      <w:pPr>
        <w:pStyle w:val="Akapitzlist"/>
        <w:numPr>
          <w:ilvl w:val="0"/>
          <w:numId w:val="1"/>
        </w:numPr>
        <w:spacing w:line="240" w:lineRule="auto"/>
        <w:ind w:hanging="720"/>
        <w:rPr>
          <w:rFonts w:ascii="Palatino Linotype" w:hAnsi="Palatino Linotype"/>
        </w:rPr>
      </w:pPr>
      <w:r w:rsidRPr="0009110D">
        <w:rPr>
          <w:rFonts w:ascii="Palatino Linotype" w:hAnsi="Palatino Linotype"/>
        </w:rPr>
        <w:t>Prawo restrukturyzacyjne</w:t>
      </w:r>
    </w:p>
    <w:p w14:paraId="2C6B23AE" w14:textId="77777777" w:rsidR="0009110D" w:rsidRPr="0009110D" w:rsidRDefault="0009110D" w:rsidP="0009110D">
      <w:pPr>
        <w:pStyle w:val="Akapitzlist"/>
        <w:numPr>
          <w:ilvl w:val="0"/>
          <w:numId w:val="1"/>
        </w:numPr>
        <w:spacing w:line="240" w:lineRule="auto"/>
        <w:ind w:hanging="720"/>
        <w:rPr>
          <w:rFonts w:ascii="Palatino Linotype" w:hAnsi="Palatino Linotype"/>
        </w:rPr>
      </w:pPr>
      <w:r w:rsidRPr="0009110D">
        <w:rPr>
          <w:rFonts w:ascii="Palatino Linotype" w:hAnsi="Palatino Linotype"/>
        </w:rPr>
        <w:t>Prawo własności intelektualnej i znaków towarowych</w:t>
      </w:r>
    </w:p>
    <w:p w14:paraId="2544839C" w14:textId="77777777" w:rsidR="0009110D" w:rsidRPr="0009110D" w:rsidRDefault="0009110D" w:rsidP="0009110D">
      <w:pPr>
        <w:pStyle w:val="Akapitzlist"/>
        <w:numPr>
          <w:ilvl w:val="0"/>
          <w:numId w:val="1"/>
        </w:numPr>
        <w:spacing w:line="240" w:lineRule="auto"/>
        <w:ind w:hanging="720"/>
        <w:rPr>
          <w:rFonts w:ascii="Palatino Linotype" w:hAnsi="Palatino Linotype"/>
        </w:rPr>
      </w:pPr>
      <w:r w:rsidRPr="0009110D">
        <w:rPr>
          <w:rFonts w:ascii="Palatino Linotype" w:hAnsi="Palatino Linotype"/>
        </w:rPr>
        <w:t>Prawo zamówień publicznych</w:t>
      </w:r>
    </w:p>
    <w:p w14:paraId="5079B064" w14:textId="77777777" w:rsidR="0009110D" w:rsidRPr="0009110D" w:rsidRDefault="0009110D" w:rsidP="0009110D">
      <w:pPr>
        <w:spacing w:line="240" w:lineRule="auto"/>
        <w:rPr>
          <w:rFonts w:ascii="Palatino Linotype" w:hAnsi="Palatino Linotype"/>
        </w:rPr>
      </w:pPr>
    </w:p>
    <w:p w14:paraId="6770D96C" w14:textId="61E310FA" w:rsidR="009F35FD" w:rsidRDefault="009F35FD" w:rsidP="0009110D">
      <w:pPr>
        <w:spacing w:line="240" w:lineRule="auto"/>
        <w:rPr>
          <w:rFonts w:ascii="Palatino Linotype" w:hAnsi="Palatino Linotype"/>
        </w:rPr>
      </w:pPr>
    </w:p>
    <w:p w14:paraId="5F0F412D" w14:textId="67444CF0" w:rsidR="006E18B8" w:rsidRDefault="006E18B8" w:rsidP="0009110D">
      <w:pPr>
        <w:spacing w:line="240" w:lineRule="auto"/>
        <w:rPr>
          <w:rFonts w:ascii="Palatino Linotype" w:hAnsi="Palatino Linotype"/>
        </w:rPr>
      </w:pPr>
    </w:p>
    <w:p w14:paraId="42487B1D" w14:textId="71A7DEE6" w:rsidR="006E18B8" w:rsidRDefault="006E18B8" w:rsidP="0009110D">
      <w:pPr>
        <w:spacing w:line="240" w:lineRule="auto"/>
        <w:rPr>
          <w:rFonts w:ascii="Palatino Linotype" w:hAnsi="Palatino Linotype"/>
        </w:rPr>
      </w:pPr>
    </w:p>
    <w:p w14:paraId="501F15D0" w14:textId="5394BAEE" w:rsidR="006E18B8" w:rsidRDefault="006E18B8" w:rsidP="0009110D">
      <w:pPr>
        <w:spacing w:line="240" w:lineRule="auto"/>
        <w:rPr>
          <w:rFonts w:ascii="Palatino Linotype" w:hAnsi="Palatino Linotype"/>
        </w:rPr>
      </w:pPr>
    </w:p>
    <w:p w14:paraId="26A342BA" w14:textId="77777777" w:rsidR="006E18B8" w:rsidRPr="0009110D" w:rsidRDefault="006E18B8" w:rsidP="00D2679B">
      <w:pPr>
        <w:spacing w:line="240" w:lineRule="auto"/>
        <w:rPr>
          <w:rFonts w:ascii="Palatino Linotype" w:hAnsi="Palatino Linotype"/>
        </w:rPr>
      </w:pPr>
      <w:bookmarkStart w:id="3" w:name="_GoBack"/>
      <w:bookmarkEnd w:id="3"/>
    </w:p>
    <w:sectPr w:rsidR="006E18B8" w:rsidRPr="0009110D" w:rsidSect="009918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AD3EC2"/>
    <w:multiLevelType w:val="hybridMultilevel"/>
    <w:tmpl w:val="D3E8FE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353E7E"/>
    <w:multiLevelType w:val="hybridMultilevel"/>
    <w:tmpl w:val="5262D1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911992"/>
    <w:multiLevelType w:val="hybridMultilevel"/>
    <w:tmpl w:val="E99818F2"/>
    <w:lvl w:ilvl="0" w:tplc="0415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10D"/>
    <w:rsid w:val="0009110D"/>
    <w:rsid w:val="000B0322"/>
    <w:rsid w:val="004102E8"/>
    <w:rsid w:val="004428D2"/>
    <w:rsid w:val="006E18B8"/>
    <w:rsid w:val="009F35FD"/>
    <w:rsid w:val="00D2679B"/>
    <w:rsid w:val="00D35D83"/>
    <w:rsid w:val="00EA3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4BA58"/>
  <w15:chartTrackingRefBased/>
  <w15:docId w15:val="{FFC7CC2B-A91E-4749-BFF5-BF614ADFA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110D"/>
    <w:pPr>
      <w:spacing w:after="0" w:line="360" w:lineRule="auto"/>
    </w:pPr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911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907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108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Widera</dc:creator>
  <cp:keywords/>
  <dc:description/>
  <cp:lastModifiedBy>Kinga Widera</cp:lastModifiedBy>
  <cp:revision>9</cp:revision>
  <cp:lastPrinted>2019-11-24T09:51:00Z</cp:lastPrinted>
  <dcterms:created xsi:type="dcterms:W3CDTF">2019-11-01T20:57:00Z</dcterms:created>
  <dcterms:modified xsi:type="dcterms:W3CDTF">2019-11-24T09:51:00Z</dcterms:modified>
</cp:coreProperties>
</file>